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BE9" w:rsidRDefault="00A70BE9" w:rsidP="00A70BE9">
      <w:pPr>
        <w:tabs>
          <w:tab w:val="left" w:pos="3969"/>
        </w:tabs>
        <w:ind w:right="5103"/>
        <w:rPr>
          <w:rFonts w:ascii="Calibri" w:hAnsi="Calibri" w:cs="Calibri"/>
        </w:rPr>
      </w:pPr>
      <w:r>
        <w:rPr>
          <w:rFonts w:ascii="Calibri" w:hAnsi="Calibri" w:cs="Calibri"/>
          <w:b/>
          <w:noProof/>
        </w:rPr>
        <w:t xml:space="preserve">                  </w:t>
      </w:r>
      <w:r>
        <w:rPr>
          <w:rFonts w:ascii="Calibri" w:hAnsi="Calibri" w:cs="Calibri"/>
          <w:b/>
          <w:noProof/>
          <w:lang w:eastAsia="hr-HR"/>
        </w:rPr>
        <w:drawing>
          <wp:inline distT="0" distB="0" distL="0" distR="0">
            <wp:extent cx="622300" cy="838200"/>
            <wp:effectExtent l="0" t="0" r="6350" b="0"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BE9" w:rsidRDefault="00A70BE9" w:rsidP="00A70BE9">
      <w:pPr>
        <w:tabs>
          <w:tab w:val="left" w:pos="3969"/>
        </w:tabs>
        <w:ind w:right="5103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REPUBLIKA HRVATSKA</w:t>
      </w:r>
    </w:p>
    <w:p w:rsidR="00A70BE9" w:rsidRDefault="00A70BE9" w:rsidP="00A70BE9">
      <w:pPr>
        <w:tabs>
          <w:tab w:val="left" w:pos="3969"/>
        </w:tabs>
        <w:ind w:right="5103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ŠIBENSKO-KNINSKA ŽUPANIJA</w:t>
      </w:r>
    </w:p>
    <w:p w:rsidR="00A70BE9" w:rsidRDefault="00A70BE9" w:rsidP="00A70BE9">
      <w:pPr>
        <w:tabs>
          <w:tab w:val="left" w:pos="3969"/>
        </w:tabs>
        <w:ind w:right="5103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t xml:space="preserve">    </w:t>
      </w:r>
      <w:r>
        <w:rPr>
          <w:rFonts w:ascii="Calibri" w:hAnsi="Calibri" w:cs="Calibri"/>
          <w:b/>
          <w:noProof/>
          <w:lang w:eastAsia="hr-HR"/>
        </w:rPr>
        <w:drawing>
          <wp:inline distT="0" distB="0" distL="0" distR="0">
            <wp:extent cx="603250" cy="755650"/>
            <wp:effectExtent l="0" t="0" r="6350" b="635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 w:cstheme="minorHAnsi"/>
          <w:b/>
          <w:bCs/>
        </w:rPr>
        <w:t>GRAD</w:t>
      </w:r>
      <w:r>
        <w:rPr>
          <w:rFonts w:eastAsia="Arial" w:cstheme="minorHAnsi"/>
          <w:b/>
          <w:bCs/>
          <w:spacing w:val="-6"/>
        </w:rPr>
        <w:t xml:space="preserve"> </w:t>
      </w:r>
      <w:r>
        <w:rPr>
          <w:rFonts w:eastAsia="Arial" w:cstheme="minorHAnsi"/>
          <w:b/>
          <w:bCs/>
          <w:spacing w:val="-2"/>
        </w:rPr>
        <w:t>DRNIŠ</w:t>
      </w:r>
    </w:p>
    <w:p w:rsidR="00A70BE9" w:rsidRDefault="00A70BE9" w:rsidP="00A70BE9">
      <w:pPr>
        <w:widowControl w:val="0"/>
        <w:autoSpaceDE w:val="0"/>
        <w:autoSpaceDN w:val="0"/>
        <w:spacing w:before="3" w:line="240" w:lineRule="auto"/>
        <w:ind w:firstLine="709"/>
        <w:contextualSpacing/>
        <w:jc w:val="both"/>
        <w:outlineLvl w:val="1"/>
        <w:rPr>
          <w:rFonts w:eastAsia="Arial" w:cstheme="minorHAnsi"/>
          <w:b/>
          <w:bCs/>
        </w:rPr>
      </w:pPr>
      <w:r>
        <w:rPr>
          <w:rFonts w:eastAsia="Arial" w:cstheme="minorHAnsi"/>
          <w:b/>
          <w:bCs/>
        </w:rPr>
        <w:t xml:space="preserve">   GRADSKO VIJEĆE</w:t>
      </w:r>
    </w:p>
    <w:p w:rsidR="00A70BE9" w:rsidRDefault="00A70BE9" w:rsidP="00A70BE9">
      <w:pPr>
        <w:widowControl w:val="0"/>
        <w:autoSpaceDE w:val="0"/>
        <w:autoSpaceDN w:val="0"/>
        <w:spacing w:before="251" w:line="240" w:lineRule="auto"/>
        <w:ind w:right="6643"/>
        <w:contextualSpacing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KLASA:550-01/23-10/3              </w:t>
      </w:r>
      <w:r>
        <w:rPr>
          <w:rFonts w:eastAsia="Arial" w:cstheme="minorHAnsi"/>
          <w:spacing w:val="-2"/>
        </w:rPr>
        <w:t>URBROJ: 2182-6-25-</w:t>
      </w:r>
    </w:p>
    <w:p w:rsidR="00A70BE9" w:rsidRDefault="00A70BE9" w:rsidP="00A70BE9">
      <w:pPr>
        <w:widowControl w:val="0"/>
        <w:autoSpaceDE w:val="0"/>
        <w:autoSpaceDN w:val="0"/>
        <w:spacing w:line="24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>Drniš,</w:t>
      </w:r>
      <w:r>
        <w:rPr>
          <w:rFonts w:eastAsia="Arial" w:cstheme="minorHAnsi"/>
          <w:spacing w:val="-5"/>
        </w:rPr>
        <w:t xml:space="preserve">       2026. godine</w:t>
      </w:r>
    </w:p>
    <w:p w:rsidR="00A70BE9" w:rsidRDefault="00A70BE9" w:rsidP="00A70BE9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Arial" w:cstheme="minorHAnsi"/>
        </w:rPr>
      </w:pPr>
    </w:p>
    <w:p w:rsidR="00A70BE9" w:rsidRDefault="00A70BE9" w:rsidP="00A70BE9">
      <w:pPr>
        <w:widowControl w:val="0"/>
        <w:autoSpaceDE w:val="0"/>
        <w:autoSpaceDN w:val="0"/>
        <w:spacing w:line="240" w:lineRule="auto"/>
        <w:ind w:right="139" w:firstLine="709"/>
        <w:contextualSpacing/>
        <w:jc w:val="both"/>
        <w:rPr>
          <w:rFonts w:eastAsia="Arial" w:cstheme="minorHAnsi"/>
        </w:rPr>
      </w:pPr>
      <w:r>
        <w:rPr>
          <w:rFonts w:eastAsia="Arial" w:cstheme="minorHAnsi"/>
        </w:rPr>
        <w:t>Na temelju članka 54. stavka 1.  Zakona o ustanovama („Narodne novine“, broj 76/93., 29/97, 47/99, 35/08, 127/19 i 151/22), članka 211. stavka 2.  Zakona</w:t>
      </w:r>
      <w:r>
        <w:rPr>
          <w:rFonts w:eastAsia="Arial" w:cstheme="minorHAnsi"/>
          <w:spacing w:val="2"/>
        </w:rPr>
        <w:t xml:space="preserve"> </w:t>
      </w:r>
      <w:r>
        <w:rPr>
          <w:rFonts w:eastAsia="Arial" w:cstheme="minorHAnsi"/>
        </w:rPr>
        <w:t>o</w:t>
      </w:r>
      <w:r>
        <w:rPr>
          <w:rFonts w:eastAsia="Arial" w:cstheme="minorHAnsi"/>
          <w:spacing w:val="3"/>
        </w:rPr>
        <w:t xml:space="preserve"> </w:t>
      </w:r>
      <w:r>
        <w:rPr>
          <w:rFonts w:eastAsia="Arial" w:cstheme="minorHAnsi"/>
        </w:rPr>
        <w:t>socijalnoj</w:t>
      </w:r>
      <w:r>
        <w:rPr>
          <w:rFonts w:eastAsia="Arial" w:cstheme="minorHAnsi"/>
          <w:spacing w:val="4"/>
        </w:rPr>
        <w:t xml:space="preserve"> </w:t>
      </w:r>
      <w:r>
        <w:rPr>
          <w:rFonts w:eastAsia="Arial" w:cstheme="minorHAnsi"/>
        </w:rPr>
        <w:t>skrbi</w:t>
      </w:r>
      <w:r>
        <w:rPr>
          <w:rFonts w:eastAsia="Arial" w:cstheme="minorHAnsi"/>
          <w:spacing w:val="3"/>
        </w:rPr>
        <w:t xml:space="preserve"> </w:t>
      </w:r>
      <w:r>
        <w:rPr>
          <w:rFonts w:eastAsia="Arial" w:cstheme="minorHAnsi"/>
        </w:rPr>
        <w:t>(„Narodne</w:t>
      </w:r>
      <w:r>
        <w:rPr>
          <w:rFonts w:eastAsia="Arial" w:cstheme="minorHAnsi"/>
          <w:spacing w:val="4"/>
        </w:rPr>
        <w:t xml:space="preserve"> </w:t>
      </w:r>
      <w:r>
        <w:rPr>
          <w:rFonts w:eastAsia="Arial" w:cstheme="minorHAnsi"/>
        </w:rPr>
        <w:t>novine”,</w:t>
      </w:r>
      <w:r>
        <w:rPr>
          <w:rFonts w:eastAsia="Arial" w:cstheme="minorHAnsi"/>
          <w:spacing w:val="4"/>
        </w:rPr>
        <w:t xml:space="preserve"> </w:t>
      </w:r>
      <w:r>
        <w:rPr>
          <w:rFonts w:eastAsia="Arial" w:cstheme="minorHAnsi"/>
        </w:rPr>
        <w:t>broj</w:t>
      </w:r>
      <w:r>
        <w:rPr>
          <w:rFonts w:eastAsia="Arial" w:cstheme="minorHAnsi"/>
          <w:spacing w:val="1"/>
        </w:rPr>
        <w:t xml:space="preserve"> </w:t>
      </w:r>
      <w:r>
        <w:rPr>
          <w:rFonts w:eastAsia="Arial" w:cstheme="minorHAnsi"/>
        </w:rPr>
        <w:t>18/22,</w:t>
      </w:r>
      <w:r>
        <w:rPr>
          <w:rFonts w:eastAsia="Arial" w:cstheme="minorHAnsi"/>
          <w:spacing w:val="6"/>
        </w:rPr>
        <w:t xml:space="preserve"> </w:t>
      </w:r>
      <w:r>
        <w:rPr>
          <w:rFonts w:eastAsia="Arial" w:cstheme="minorHAnsi"/>
        </w:rPr>
        <w:t>46/22</w:t>
      </w:r>
      <w:r>
        <w:rPr>
          <w:rFonts w:eastAsia="Arial" w:cstheme="minorHAnsi"/>
          <w:spacing w:val="4"/>
        </w:rPr>
        <w:t>,</w:t>
      </w:r>
      <w:r>
        <w:rPr>
          <w:rFonts w:eastAsia="Arial" w:cstheme="minorHAnsi"/>
          <w:spacing w:val="3"/>
        </w:rPr>
        <w:t xml:space="preserve"> </w:t>
      </w:r>
      <w:r>
        <w:rPr>
          <w:rFonts w:eastAsia="Arial" w:cstheme="minorHAnsi"/>
        </w:rPr>
        <w:t>119/22, 71/23, 156/23</w:t>
      </w:r>
      <w:r w:rsidR="00C90940">
        <w:rPr>
          <w:rFonts w:eastAsia="Arial" w:cstheme="minorHAnsi"/>
        </w:rPr>
        <w:t>, 61/25</w:t>
      </w:r>
      <w:r>
        <w:rPr>
          <w:rFonts w:eastAsia="Arial" w:cstheme="minorHAnsi"/>
        </w:rPr>
        <w:t>),</w:t>
      </w:r>
      <w:r>
        <w:rPr>
          <w:rFonts w:eastAsia="Arial" w:cstheme="minorHAnsi"/>
          <w:spacing w:val="-4"/>
        </w:rPr>
        <w:t xml:space="preserve"> </w:t>
      </w:r>
      <w:r>
        <w:rPr>
          <w:rFonts w:eastAsia="Arial" w:cstheme="minorHAnsi"/>
        </w:rPr>
        <w:t>članka</w:t>
      </w:r>
      <w:r>
        <w:rPr>
          <w:rFonts w:eastAsia="Arial" w:cstheme="minorHAnsi"/>
          <w:spacing w:val="5"/>
        </w:rPr>
        <w:t xml:space="preserve"> </w:t>
      </w:r>
      <w:r>
        <w:rPr>
          <w:rFonts w:eastAsia="Arial" w:cstheme="minorHAnsi"/>
        </w:rPr>
        <w:t>35.</w:t>
      </w:r>
      <w:r>
        <w:rPr>
          <w:rFonts w:eastAsia="Arial" w:cstheme="minorHAnsi"/>
          <w:spacing w:val="4"/>
        </w:rPr>
        <w:t xml:space="preserve"> </w:t>
      </w:r>
      <w:r>
        <w:rPr>
          <w:rFonts w:eastAsia="Arial" w:cstheme="minorHAnsi"/>
        </w:rPr>
        <w:t>Zakona</w:t>
      </w:r>
      <w:r>
        <w:rPr>
          <w:rFonts w:eastAsia="Arial" w:cstheme="minorHAnsi"/>
          <w:spacing w:val="23"/>
        </w:rPr>
        <w:t xml:space="preserve"> </w:t>
      </w:r>
      <w:r>
        <w:rPr>
          <w:rFonts w:eastAsia="Arial" w:cstheme="minorHAnsi"/>
        </w:rPr>
        <w:t>o</w:t>
      </w:r>
      <w:r>
        <w:rPr>
          <w:rFonts w:eastAsia="Arial" w:cstheme="minorHAnsi"/>
          <w:spacing w:val="21"/>
        </w:rPr>
        <w:t xml:space="preserve"> </w:t>
      </w:r>
      <w:r>
        <w:rPr>
          <w:rFonts w:eastAsia="Arial" w:cstheme="minorHAnsi"/>
        </w:rPr>
        <w:t>lokalnoj</w:t>
      </w:r>
      <w:r>
        <w:rPr>
          <w:rFonts w:eastAsia="Arial" w:cstheme="minorHAnsi"/>
          <w:spacing w:val="23"/>
        </w:rPr>
        <w:t xml:space="preserve"> </w:t>
      </w:r>
      <w:r>
        <w:rPr>
          <w:rFonts w:eastAsia="Arial" w:cstheme="minorHAnsi"/>
        </w:rPr>
        <w:t>i</w:t>
      </w:r>
      <w:r>
        <w:rPr>
          <w:rFonts w:eastAsia="Arial" w:cstheme="minorHAnsi"/>
          <w:spacing w:val="23"/>
        </w:rPr>
        <w:t xml:space="preserve"> </w:t>
      </w:r>
      <w:r>
        <w:rPr>
          <w:rFonts w:eastAsia="Arial" w:cstheme="minorHAnsi"/>
        </w:rPr>
        <w:t>područnoj</w:t>
      </w:r>
      <w:r>
        <w:rPr>
          <w:rFonts w:eastAsia="Arial" w:cstheme="minorHAnsi"/>
          <w:spacing w:val="22"/>
        </w:rPr>
        <w:t xml:space="preserve"> </w:t>
      </w:r>
      <w:r>
        <w:rPr>
          <w:rFonts w:eastAsia="Arial" w:cstheme="minorHAnsi"/>
        </w:rPr>
        <w:t>(regionalnoj)</w:t>
      </w:r>
      <w:r>
        <w:rPr>
          <w:rFonts w:eastAsia="Arial" w:cstheme="minorHAnsi"/>
          <w:spacing w:val="24"/>
        </w:rPr>
        <w:t xml:space="preserve"> </w:t>
      </w:r>
      <w:r>
        <w:rPr>
          <w:rFonts w:eastAsia="Arial" w:cstheme="minorHAnsi"/>
        </w:rPr>
        <w:t>samoupravi</w:t>
      </w:r>
      <w:r>
        <w:rPr>
          <w:rFonts w:eastAsia="Arial" w:cstheme="minorHAnsi"/>
          <w:spacing w:val="22"/>
        </w:rPr>
        <w:t xml:space="preserve"> </w:t>
      </w:r>
      <w:r>
        <w:rPr>
          <w:rFonts w:eastAsia="Arial" w:cstheme="minorHAnsi"/>
        </w:rPr>
        <w:t>("Narodne</w:t>
      </w:r>
      <w:r>
        <w:rPr>
          <w:rFonts w:eastAsia="Arial" w:cstheme="minorHAnsi"/>
          <w:spacing w:val="23"/>
        </w:rPr>
        <w:t xml:space="preserve"> </w:t>
      </w:r>
      <w:r>
        <w:rPr>
          <w:rFonts w:eastAsia="Arial" w:cstheme="minorHAnsi"/>
        </w:rPr>
        <w:t>novine"</w:t>
      </w:r>
      <w:r>
        <w:rPr>
          <w:rFonts w:eastAsia="Arial" w:cstheme="minorHAnsi"/>
          <w:spacing w:val="24"/>
        </w:rPr>
        <w:t xml:space="preserve"> </w:t>
      </w:r>
      <w:r>
        <w:rPr>
          <w:rFonts w:eastAsia="Arial" w:cstheme="minorHAnsi"/>
          <w:spacing w:val="-4"/>
        </w:rPr>
        <w:t>broj</w:t>
      </w:r>
      <w:r>
        <w:rPr>
          <w:rFonts w:eastAsia="Arial" w:cstheme="minorHAnsi"/>
        </w:rPr>
        <w:t xml:space="preserve"> 33/01,</w:t>
      </w:r>
      <w:r>
        <w:rPr>
          <w:rFonts w:eastAsia="Arial" w:cstheme="minorHAnsi"/>
          <w:spacing w:val="-16"/>
        </w:rPr>
        <w:t xml:space="preserve"> </w:t>
      </w:r>
      <w:r>
        <w:rPr>
          <w:rFonts w:eastAsia="Arial" w:cstheme="minorHAnsi"/>
        </w:rPr>
        <w:t>60/01</w:t>
      </w:r>
      <w:r>
        <w:rPr>
          <w:rFonts w:eastAsia="Arial" w:cstheme="minorHAnsi"/>
          <w:spacing w:val="-15"/>
        </w:rPr>
        <w:t xml:space="preserve"> </w:t>
      </w:r>
      <w:r>
        <w:rPr>
          <w:rFonts w:eastAsia="Arial" w:cstheme="minorHAnsi"/>
        </w:rPr>
        <w:t>-</w:t>
      </w:r>
      <w:r>
        <w:rPr>
          <w:rFonts w:eastAsia="Arial" w:cstheme="minorHAnsi"/>
          <w:spacing w:val="-15"/>
        </w:rPr>
        <w:t xml:space="preserve"> </w:t>
      </w:r>
      <w:r>
        <w:rPr>
          <w:rFonts w:eastAsia="Arial" w:cstheme="minorHAnsi"/>
        </w:rPr>
        <w:t>vjerodostojno</w:t>
      </w:r>
      <w:r>
        <w:rPr>
          <w:rFonts w:eastAsia="Arial" w:cstheme="minorHAnsi"/>
          <w:spacing w:val="-15"/>
        </w:rPr>
        <w:t xml:space="preserve"> </w:t>
      </w:r>
      <w:r>
        <w:rPr>
          <w:rFonts w:eastAsia="Arial" w:cstheme="minorHAnsi"/>
        </w:rPr>
        <w:t>tumačenje,</w:t>
      </w:r>
      <w:r>
        <w:rPr>
          <w:rFonts w:eastAsia="Arial" w:cstheme="minorHAnsi"/>
          <w:spacing w:val="-12"/>
        </w:rPr>
        <w:t xml:space="preserve"> </w:t>
      </w:r>
      <w:r>
        <w:rPr>
          <w:rFonts w:eastAsia="Arial" w:cstheme="minorHAnsi"/>
        </w:rPr>
        <w:t>129/05,</w:t>
      </w:r>
      <w:r>
        <w:rPr>
          <w:rFonts w:eastAsia="Arial" w:cstheme="minorHAnsi"/>
          <w:spacing w:val="-11"/>
        </w:rPr>
        <w:t xml:space="preserve"> </w:t>
      </w:r>
      <w:r>
        <w:rPr>
          <w:rFonts w:eastAsia="Arial" w:cstheme="minorHAnsi"/>
        </w:rPr>
        <w:t>109/07,</w:t>
      </w:r>
      <w:r>
        <w:rPr>
          <w:rFonts w:eastAsia="Arial" w:cstheme="minorHAnsi"/>
          <w:spacing w:val="-14"/>
        </w:rPr>
        <w:t xml:space="preserve"> </w:t>
      </w:r>
      <w:r>
        <w:rPr>
          <w:rFonts w:eastAsia="Arial" w:cstheme="minorHAnsi"/>
        </w:rPr>
        <w:t>125/08,</w:t>
      </w:r>
      <w:r>
        <w:rPr>
          <w:rFonts w:eastAsia="Arial" w:cstheme="minorHAnsi"/>
          <w:spacing w:val="-12"/>
        </w:rPr>
        <w:t xml:space="preserve"> </w:t>
      </w:r>
      <w:r>
        <w:rPr>
          <w:rFonts w:eastAsia="Arial" w:cstheme="minorHAnsi"/>
        </w:rPr>
        <w:t>36/09,</w:t>
      </w:r>
      <w:r>
        <w:rPr>
          <w:rFonts w:eastAsia="Arial" w:cstheme="minorHAnsi"/>
          <w:spacing w:val="-12"/>
        </w:rPr>
        <w:t xml:space="preserve"> </w:t>
      </w:r>
      <w:r>
        <w:rPr>
          <w:rFonts w:eastAsia="Arial" w:cstheme="minorHAnsi"/>
        </w:rPr>
        <w:t>150/11,</w:t>
      </w:r>
      <w:r>
        <w:rPr>
          <w:rFonts w:eastAsia="Arial" w:cstheme="minorHAnsi"/>
          <w:spacing w:val="-14"/>
        </w:rPr>
        <w:t xml:space="preserve"> </w:t>
      </w:r>
      <w:r>
        <w:rPr>
          <w:rFonts w:eastAsia="Arial" w:cstheme="minorHAnsi"/>
        </w:rPr>
        <w:t>144/12,</w:t>
      </w:r>
      <w:r>
        <w:rPr>
          <w:rFonts w:eastAsia="Arial" w:cstheme="minorHAnsi"/>
          <w:spacing w:val="-11"/>
        </w:rPr>
        <w:t xml:space="preserve"> </w:t>
      </w:r>
      <w:r>
        <w:rPr>
          <w:rFonts w:eastAsia="Arial" w:cstheme="minorHAnsi"/>
          <w:spacing w:val="-2"/>
        </w:rPr>
        <w:t>19/13</w:t>
      </w:r>
      <w:r>
        <w:rPr>
          <w:rFonts w:eastAsia="Arial" w:cstheme="minorHAnsi"/>
        </w:rPr>
        <w:t xml:space="preserve"> - pročišćeni tekst, 137/15, 123/17, 98/19 i 144/20)</w:t>
      </w:r>
      <w:r>
        <w:rPr>
          <w:rFonts w:eastAsia="Arial" w:cstheme="minorHAnsi"/>
          <w:spacing w:val="40"/>
        </w:rPr>
        <w:t xml:space="preserve"> </w:t>
      </w:r>
      <w:r>
        <w:rPr>
          <w:rFonts w:eastAsia="Arial" w:cstheme="minorHAnsi"/>
        </w:rPr>
        <w:t>i članka 51. Statuta Grada Drniša („Službeni Glasnik Grada Drniša“, broj, 2/21 i 2/22) Gradsko</w:t>
      </w:r>
      <w:r>
        <w:rPr>
          <w:rFonts w:eastAsia="Arial" w:cstheme="minorHAnsi"/>
          <w:spacing w:val="-7"/>
        </w:rPr>
        <w:t xml:space="preserve"> </w:t>
      </w:r>
      <w:r>
        <w:rPr>
          <w:rFonts w:eastAsia="Arial" w:cstheme="minorHAnsi"/>
        </w:rPr>
        <w:t>vijeće</w:t>
      </w:r>
      <w:r>
        <w:rPr>
          <w:rFonts w:eastAsia="Arial" w:cstheme="minorHAnsi"/>
          <w:spacing w:val="-9"/>
        </w:rPr>
        <w:t xml:space="preserve"> </w:t>
      </w:r>
      <w:r>
        <w:rPr>
          <w:rFonts w:eastAsia="Arial" w:cstheme="minorHAnsi"/>
        </w:rPr>
        <w:t>Grada</w:t>
      </w:r>
      <w:r>
        <w:rPr>
          <w:rFonts w:eastAsia="Arial" w:cstheme="minorHAnsi"/>
          <w:spacing w:val="-7"/>
        </w:rPr>
        <w:t xml:space="preserve"> </w:t>
      </w:r>
      <w:r>
        <w:rPr>
          <w:rFonts w:eastAsia="Arial" w:cstheme="minorHAnsi"/>
        </w:rPr>
        <w:t>Drniša</w:t>
      </w:r>
      <w:r>
        <w:rPr>
          <w:rFonts w:eastAsia="Arial" w:cstheme="minorHAnsi"/>
          <w:spacing w:val="-8"/>
        </w:rPr>
        <w:t xml:space="preserve"> </w:t>
      </w:r>
      <w:r>
        <w:rPr>
          <w:rFonts w:eastAsia="Arial" w:cstheme="minorHAnsi"/>
        </w:rPr>
        <w:t xml:space="preserve">na . </w:t>
      </w:r>
      <w:r>
        <w:rPr>
          <w:rFonts w:eastAsia="Arial" w:cstheme="minorHAnsi"/>
          <w:spacing w:val="-8"/>
        </w:rPr>
        <w:t xml:space="preserve"> </w:t>
      </w:r>
      <w:r>
        <w:rPr>
          <w:rFonts w:eastAsia="Arial" w:cstheme="minorHAnsi"/>
        </w:rPr>
        <w:t>sjednici</w:t>
      </w:r>
      <w:r>
        <w:rPr>
          <w:rFonts w:eastAsia="Arial" w:cstheme="minorHAnsi"/>
          <w:spacing w:val="-8"/>
        </w:rPr>
        <w:t xml:space="preserve"> </w:t>
      </w:r>
      <w:r>
        <w:rPr>
          <w:rFonts w:eastAsia="Arial" w:cstheme="minorHAnsi"/>
        </w:rPr>
        <w:t>održanoj</w:t>
      </w:r>
      <w:r>
        <w:rPr>
          <w:rFonts w:eastAsia="Arial" w:cstheme="minorHAnsi"/>
          <w:spacing w:val="-5"/>
        </w:rPr>
        <w:t xml:space="preserve">      </w:t>
      </w:r>
      <w:r>
        <w:rPr>
          <w:rFonts w:eastAsia="Arial" w:cstheme="minorHAnsi"/>
        </w:rPr>
        <w:t xml:space="preserve"> 2026. godine donijelo je</w:t>
      </w:r>
    </w:p>
    <w:p w:rsidR="00A70BE9" w:rsidRDefault="00A70BE9" w:rsidP="00A70BE9">
      <w:pPr>
        <w:pStyle w:val="Bezproreda"/>
        <w:ind w:firstLine="709"/>
        <w:jc w:val="center"/>
        <w:rPr>
          <w:rFonts w:cstheme="minorHAnsi"/>
        </w:rPr>
      </w:pPr>
    </w:p>
    <w:p w:rsidR="003577AE" w:rsidRPr="00A70BE9" w:rsidRDefault="00A70BE9">
      <w:pPr>
        <w:rPr>
          <w:b/>
        </w:rPr>
      </w:pPr>
      <w:r w:rsidRPr="00A70BE9">
        <w:rPr>
          <w:b/>
        </w:rPr>
        <w:t xml:space="preserve">                                                        </w:t>
      </w:r>
      <w:r>
        <w:rPr>
          <w:b/>
        </w:rPr>
        <w:t xml:space="preserve">          </w:t>
      </w:r>
      <w:r w:rsidRPr="00A70BE9">
        <w:rPr>
          <w:b/>
        </w:rPr>
        <w:t xml:space="preserve">  Z A K L J U Č A K </w:t>
      </w:r>
    </w:p>
    <w:p w:rsidR="00A70BE9" w:rsidRDefault="00A70BE9">
      <w:pPr>
        <w:rPr>
          <w:b/>
        </w:rPr>
      </w:pPr>
      <w:r w:rsidRPr="00A70BE9">
        <w:rPr>
          <w:b/>
        </w:rPr>
        <w:t xml:space="preserve">   </w:t>
      </w:r>
      <w:r>
        <w:rPr>
          <w:b/>
        </w:rPr>
        <w:t xml:space="preserve">     </w:t>
      </w:r>
      <w:r w:rsidRPr="00A70BE9">
        <w:rPr>
          <w:b/>
        </w:rPr>
        <w:t xml:space="preserve"> </w:t>
      </w:r>
      <w:r>
        <w:rPr>
          <w:b/>
        </w:rPr>
        <w:t xml:space="preserve">                      </w:t>
      </w:r>
      <w:r w:rsidRPr="00A70BE9">
        <w:rPr>
          <w:b/>
        </w:rPr>
        <w:t xml:space="preserve">    </w:t>
      </w:r>
      <w:r>
        <w:rPr>
          <w:b/>
        </w:rPr>
        <w:t>o</w:t>
      </w:r>
      <w:r w:rsidRPr="00A70BE9">
        <w:rPr>
          <w:b/>
        </w:rPr>
        <w:t xml:space="preserve"> davanju prethodne suglasnosti na Statut Centra za</w:t>
      </w:r>
    </w:p>
    <w:p w:rsidR="00A70BE9" w:rsidRDefault="00A70BE9">
      <w:pPr>
        <w:rPr>
          <w:b/>
        </w:rPr>
      </w:pPr>
      <w:r>
        <w:rPr>
          <w:b/>
        </w:rPr>
        <w:t xml:space="preserve">                               </w:t>
      </w:r>
      <w:r w:rsidRPr="00A70BE9">
        <w:rPr>
          <w:b/>
        </w:rPr>
        <w:t xml:space="preserve"> pružanje usluga u</w:t>
      </w:r>
      <w:r>
        <w:rPr>
          <w:b/>
        </w:rPr>
        <w:t xml:space="preserve"> </w:t>
      </w:r>
      <w:r w:rsidRPr="00A70BE9">
        <w:rPr>
          <w:b/>
        </w:rPr>
        <w:t>zajednici</w:t>
      </w:r>
      <w:r w:rsidR="00C90940">
        <w:rPr>
          <w:b/>
        </w:rPr>
        <w:t xml:space="preserve"> </w:t>
      </w:r>
      <w:r w:rsidRPr="00A70BE9">
        <w:rPr>
          <w:b/>
        </w:rPr>
        <w:t>-</w:t>
      </w:r>
      <w:r w:rsidR="00C90940">
        <w:rPr>
          <w:b/>
        </w:rPr>
        <w:t xml:space="preserve"> </w:t>
      </w:r>
      <w:r w:rsidRPr="00A70BE9">
        <w:rPr>
          <w:b/>
        </w:rPr>
        <w:t>Centar za starije osobe Drniš</w:t>
      </w:r>
    </w:p>
    <w:p w:rsidR="00A70BE9" w:rsidRDefault="00A70BE9">
      <w:pPr>
        <w:rPr>
          <w:b/>
        </w:rPr>
      </w:pPr>
    </w:p>
    <w:p w:rsidR="00A70BE9" w:rsidRDefault="00A70BE9">
      <w:pPr>
        <w:rPr>
          <w:b/>
        </w:rPr>
      </w:pPr>
      <w:r>
        <w:rPr>
          <w:b/>
        </w:rPr>
        <w:t xml:space="preserve">                                                                            I.</w:t>
      </w:r>
    </w:p>
    <w:p w:rsidR="00A70BE9" w:rsidRDefault="00A70BE9" w:rsidP="00A70BE9">
      <w:r>
        <w:rPr>
          <w:b/>
        </w:rPr>
        <w:t xml:space="preserve">           </w:t>
      </w:r>
      <w:r w:rsidRPr="00A70BE9">
        <w:t>Daje se prethodna suglasnosti na Statut Centra za</w:t>
      </w:r>
      <w:r>
        <w:t xml:space="preserve"> </w:t>
      </w:r>
      <w:r w:rsidRPr="00A70BE9">
        <w:t xml:space="preserve"> pružanje usluga u zajednici</w:t>
      </w:r>
      <w:r w:rsidR="00C90940">
        <w:t xml:space="preserve"> </w:t>
      </w:r>
      <w:r w:rsidRPr="00A70BE9">
        <w:t>-</w:t>
      </w:r>
      <w:r w:rsidR="00C90940">
        <w:t xml:space="preserve"> </w:t>
      </w:r>
      <w:bookmarkStart w:id="0" w:name="_GoBack"/>
      <w:bookmarkEnd w:id="0"/>
      <w:r w:rsidRPr="00A70BE9">
        <w:t>Centar za starije osobe Drniš</w:t>
      </w:r>
      <w:r>
        <w:t>.</w:t>
      </w:r>
    </w:p>
    <w:p w:rsidR="00A70BE9" w:rsidRDefault="00A70BE9" w:rsidP="00A70BE9"/>
    <w:p w:rsidR="00A70BE9" w:rsidRDefault="00A70BE9" w:rsidP="00A70BE9">
      <w:r>
        <w:t xml:space="preserve">                                                                           II.</w:t>
      </w:r>
    </w:p>
    <w:p w:rsidR="00A70BE9" w:rsidRDefault="00A70BE9" w:rsidP="00A70BE9">
      <w:r>
        <w:t xml:space="preserve">          </w:t>
      </w:r>
      <w:r w:rsidR="00E23E5A">
        <w:t xml:space="preserve"> </w:t>
      </w:r>
      <w:r>
        <w:t xml:space="preserve"> Tekst Statuta iz točke I. prilaže se ovom Zaključku i čini njegov sastavni dio.</w:t>
      </w:r>
    </w:p>
    <w:p w:rsidR="00B72335" w:rsidRDefault="00B72335" w:rsidP="00A70BE9"/>
    <w:p w:rsidR="00B72335" w:rsidRDefault="00B72335" w:rsidP="00A70BE9">
      <w:r>
        <w:t xml:space="preserve">                                                                           III.</w:t>
      </w:r>
    </w:p>
    <w:p w:rsidR="00B72335" w:rsidRDefault="00B72335" w:rsidP="00A70BE9">
      <w:r>
        <w:t xml:space="preserve">            Ovaj Zaključak stupa na snagu prvog dana od dana objave, a bit će objavljen u „Služb</w:t>
      </w:r>
      <w:r w:rsidR="00916C5A">
        <w:t>en</w:t>
      </w:r>
      <w:r>
        <w:t>om glasniku Grada Drniša“.</w:t>
      </w:r>
    </w:p>
    <w:p w:rsidR="00B72335" w:rsidRDefault="00B72335" w:rsidP="00A70BE9"/>
    <w:p w:rsidR="00B72335" w:rsidRDefault="00B72335" w:rsidP="00A70BE9"/>
    <w:p w:rsidR="00B72335" w:rsidRDefault="00B72335" w:rsidP="00A70BE9">
      <w:r>
        <w:t xml:space="preserve">                                                                                                                                  PREDSJEDNICA:</w:t>
      </w:r>
    </w:p>
    <w:p w:rsidR="00B72335" w:rsidRDefault="00B72335" w:rsidP="00A70BE9"/>
    <w:p w:rsidR="00B72335" w:rsidRDefault="00B72335" w:rsidP="00A70BE9">
      <w:r>
        <w:t xml:space="preserve">                                                                                                                               Majdi </w:t>
      </w:r>
      <w:proofErr w:type="spellStart"/>
      <w:r>
        <w:t>Pamuković</w:t>
      </w:r>
      <w:proofErr w:type="spellEnd"/>
      <w:r>
        <w:t>, prof.</w:t>
      </w:r>
    </w:p>
    <w:p w:rsidR="00B72335" w:rsidRDefault="00B72335" w:rsidP="00A70BE9"/>
    <w:p w:rsidR="00B72335" w:rsidRPr="00A70BE9" w:rsidRDefault="00B72335" w:rsidP="00A70BE9">
      <w:r>
        <w:t xml:space="preserve">    </w:t>
      </w:r>
    </w:p>
    <w:p w:rsidR="00A70BE9" w:rsidRPr="00A70BE9" w:rsidRDefault="00A70BE9">
      <w:pPr>
        <w:rPr>
          <w:b/>
        </w:rPr>
      </w:pPr>
      <w:r>
        <w:rPr>
          <w:b/>
        </w:rPr>
        <w:t xml:space="preserve">              </w:t>
      </w:r>
    </w:p>
    <w:sectPr w:rsidR="00A70BE9" w:rsidRPr="00A70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F0"/>
    <w:rsid w:val="003577AE"/>
    <w:rsid w:val="008D20F0"/>
    <w:rsid w:val="00916C5A"/>
    <w:rsid w:val="00A70BE9"/>
    <w:rsid w:val="00B72335"/>
    <w:rsid w:val="00C90940"/>
    <w:rsid w:val="00E2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1835F-F44D-49FE-8AC5-B4E186600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BE9"/>
    <w:pPr>
      <w:spacing w:after="0"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70BE9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16C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16C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9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6</cp:revision>
  <cp:lastPrinted>2026-05-21T10:40:00Z</cp:lastPrinted>
  <dcterms:created xsi:type="dcterms:W3CDTF">2026-05-21T10:26:00Z</dcterms:created>
  <dcterms:modified xsi:type="dcterms:W3CDTF">2026-05-21T10:46:00Z</dcterms:modified>
</cp:coreProperties>
</file>